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b85fa2a11e24630" /><Relationship Type="http://schemas.openxmlformats.org/package/2006/relationships/metadata/core-properties" Target="/package/services/metadata/core-properties/b2da358935b4456380ca07862aa43a3a.psmdcp" Id="Rdb6d59a9bbd0433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государственной итоговой аттестации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108,00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Установление соответствия уровня и качества подготовки ординатора квалификационным характеристикам врача нефролога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и качество подготовки ординатора по специальности «Нефрология», его профессиональную компетентность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готовности к осуществлению основных видов деятельности в соответствии с квалификационной характеристикой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Установить уровень усвоения клиническим ординатором материала, предусмотренного учебными программами дисциплин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знаний и умений, позволяющий решать профессиональные 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Определить уровень информационной и коммуникативной культуры.</w:t>
      </w:r>
    </w:p>
    <w:p w:rsidRPr="00B71FD5" w:rsidR="00E23389" w:rsidP="00B71FD5" w:rsidRDefault="00E23389">
      <w:pPr>
        <w:pStyle w:val="2"/>
      </w:pPr>
      <w:r w:rsidRPr="00B71FD5">
        <w:t>3. Требования к результатам освоения основной профессиональной образовательной программы специальности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уровни и методы первичной профилактики заболеваний органов мочевой системы, методы диагностики, их профилактики и оказания неотложной помощи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ятрогенной патологии; причины и механизмы типовых патологической процессов и реакций, их проявления и значение для организма при развитии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анатомо-физиологические особенности организма в разные возрастные периоды, их влияние на протекание патологического процесса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интерпретировать результаты методов лабораторной и функциональной диагностики, для выявления патологических процессов органов мочевой системы; ориентироваться в общих вопросах нозологии, включая этиологию, патогенез и морфогенез; сопоставлять клинический и патологоанатомический диагнозы; готовить и проводить клинико­морфологические конференции;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- деструктивных, воспалительных, иммунопатологических, опухолевых и др.; обосновать принципы патогенетической терапии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выявлять жизнеугрожающие состояния, использовать методики их немедленного устранения, осуществлять противошоковые мероприятия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оценки природных и медико-социальных факторов среды в развитии нефрологической патологии, их коррекции, давать рекомендации по здоровому питанию, мероприятия по формированию здорового образа жизни с учетом возрастно-половых групп и состояния здоровья, по двигательным режимам и занятиям физической культурой, оценить эффективность диспансерного наблюдения за здоровыми и хроническими пациентами, осуществлять профилактические мероприятия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медико-функциональным понятийным аппаратом по вопросам клинико­-морфологических аспектов патологии; навыками сопоставления морфологических и клинических проявлений болезни; навыками постановки предварительного диагноза на основании клинического обследования, а также заключительного клинического диагноза; обоснованием принципов патогенетической терапии наиболее распространенных заболеваний; основами врачебных диагностических и лечебных мероприятий по оказанию первой врачебной помощи при неотложных и угрожающих жизни состояниях; медико-технической аппаратурой, используемой в работе с пациентами, компьютерной техникой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и проведения санитарно-просветительной работы среди населения; организацией мероприятий, направленных на устранение причин и условий возникновения и распространения заболеваний, а также массовых неинфекционных заболеваний; методами консультативной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ПК-10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законодательства о здравоохранении и директивные доку-менты, определяющие деятельность органов и учреждений здравоохранения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опытом руководящей работы; опыт распределения по времени и месту обязанности персонала и контроля за выполнение этих обязанностей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современные представления о качестве и дефекте оказания медицинской помощи; законодательные акты РФ в стандарте экспертной оценки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определить правильность выбора медицинской технологии; степень достижения запланированного результата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оценки типовых медико-статистических показателей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ПК-12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приемы оказания медицинской помощи пострадавшим, способы организации эвакуации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приемы оказания медицинской помощи пострадавшим, способы организации эвакуации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приемами оказания медицинской помощи пострадавшим, способами организации эвакуации тяжелых и крайне тяжелых больных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осмотр; формировать диспансерные группы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осуществления санитарно-просветительской работы с населением, направленной на пропаганду здоровья,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методами выявления групп риска; методами проведением первичной профилактики в группах риска; организация раннего выявления нефрологической патологии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6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организацию врачебного контроля за состоянием здоровья, определение риска. Определение и прогнозирование осложнений в ходе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знания по проведению противоэпидемических мероприятий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7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ПК-4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сбора медико-статистических данных и расчёт показателей заболеваемости и исходов у пациентов с патологией почек; а так же методы сравнительного анализа показателей заболеваемости; методы оценки динамики пациентов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в работе методы сбора медико-статистических данных и исходов пациентов с патологией почек; методы оценки динамики пациентов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сбора медико-статистических данных и расчёт показателей заболеваемости; методами сравнительного анализа показателей заболеваемости и летальности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8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современные методы клинической, лабораторной и инструментальной диагностики патологии органов мочевой системы, необходимых для постановки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 в соответствии с Международной статистической классификацией болезней и проблем, связанных со здоровьем;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патологии причины и механизмы типовых патологической процессов и реакций, их проявления и значение для организма при развитии заболеваний органов мочевой системы;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 органов мочевой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выбирать и использовать в профессиональной деятельности возможности различных методов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Владеть методами клинического обследования с целью диагностики и дифференциальной диагностики основных клинических синдромов при заболеваниях ОМС; алгоритмом постановки развёрнутого клинического диагноза пациентам на основании Международной классификации болезней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/>
          </w:tcPr>
          <w:p w:rsidR="00B71FD5" w:rsidP="00B71FD5" w:rsidRDefault="00B71FD5"/>
        </w:tc>
        <w:tc>
          <w:tcPr>
            <w:tcW w:w="3299" w:type="dxa"/>
          </w:tcPr>
          <w:p w:rsidRPr="00B71FD5" w:rsidR="00B71FD5" w:rsidP="00B71FD5" w:rsidRDefault="00B71FD5">
            <w:r>
              <w:t>медико-функциональным понятийным аппаратом по вопросам клинико-­морфологических аспектов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клинического обследования; основами врачебных диагностических и лечебных мероприятий при неотложных и угрожающих жизни состояниях с патологией ОМС; медико-технической аппаратурой, используемой в работе с пациентами, компьютерной техникой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9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ПК-6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ведению и лечению пациентов, нуждающихся в оказании нефрологической медицинской помощи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этиологию, патогенез и клинику заболеваний почек и органов мочевой системы; специфику оказания медицинской помощи в нефрологическом стационаре; особенности ведения пациентов раннего возраста с заболеваниями почек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определять показания и выбирать адекватные методы лабораторного и инструментального, иммуно-морфологического исследования при заболеваниях почек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для выполнения основных диагностических и лечебных вмешательств у пациентов с наследственными врожденными и приобретенными заболеваниями почек и органов мочевой системы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10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ПК-7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знать алгоритмы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использовать алгоритмы оказания медицинской помощи при критических и чрезвычайных ситуациях, в том числе участию в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ПК-8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реабилитации и курортологии;основы общей патологии человека, иммунобиологии и реактивности организма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учесть деонтологические проблемы при принятии решения; квалифицированно оформлять медицинское заключение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основами психологии; последовательным и комплексным подходом к проведению медицинской реабилитации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ПК-9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методы организации санитарно-просветительной работы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санитарно-просветительной работу: школы здоровья, лекции и беседы для целевых групп высокого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методами организации санитарно-просветительной работы (школы здоровья, лекции и беседы для целевых групп высокого риска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13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ведение типовой учетно-отчетной медицинской документации; требования и правила получения информированного согласия на диагностические процедуры, порядок и протокол оказания нефрологической помощи в соответствии со стандартом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обобщать практический опыт, готовить сообщения и выступления, участвовать в научно практических дискуссиях.определять состояние здоровья пациента. выяснять жалобы пациента, собирать анамнез заболевания и жизни; заполнять документацию; проводить клиническое обследование пациента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алгоритмами диагностики и лечения заболеваний органов мочевой системы в соответствии с существующими стандартами, навыками заполнения учетно-отчетной документации; навыками оформления информированного согласия; методами контроля за эффективностью терапии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14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УК-2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как организовать работу нефрологического отделения или кабинета нефролога в медицинских организациях различного профиля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организовать работу нефрологического отделения или кабинета нефролога в медицинских организациях различного профиля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организации работы нефрологического отделения или кабинета нефролога в медицинских организациях различного профиля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15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УК-3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методику проведения теоретических и практических занятий с коллегами, включая лиц, имеющих среднее профессиональное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Организовывать и проводить методико-практические занятия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Методикой проведения теоретических и практических занятий с коллегами, включая лиц, имеющих среднее профессиональное образование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4. Содержание государственной итоговой аттестации по этапам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Оценка практических навыков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01,00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36,00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оценка уровня и качества освоения практических навыков - первый этап итоговой государственной аттестации. Оцениваются навыки, соответствующие квалификационным характеристикам врача-нефролога по всем видам профессиональной деятельности. Виды оценки практических навыков: контроль умения работать с пациентом, контроль профилактических, диагностических, лечебных, реабилитационных и организационно-управленческих профессиональных умений и владений, владения диагностическими и лечебными манипуляциями. Результаты оценки практических навыков и умений оцениваются по пятибалльной системе. При оценке "неудовлетворительно" клинический ординатор не допускается к следующему этапу.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Заключительное собеседование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Заключительное собеседование - второй этап итоговой государственной аттестации. Проверяется способность экзаменуемого в использовании приобретенных знаний, умений и практических навыков для решения профессиональных задач врача-нефролога. Результаты собеседования оцениваются по пятибалльной системе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Перечень учебно-методического обеспечения государственной итоговой аттестации</w:t>
      </w:r>
    </w:p>
    <w:p w:rsidRPr="00B71FD5" w:rsidR="00E23389" w:rsidP="00B71FD5" w:rsidRDefault="00E23389">
      <w:pPr>
        <w:pStyle w:val="2"/>
      </w:pPr>
      <w:r w:rsidRPr="00B71FD5">
        <w:t>6. Фонд оценочных средств для проведения государственной итоговой аттестации</w:t>
      </w:r>
    </w:p>
    <w:p w:rsidRPr="00B71FD5" w:rsidR="00E23389" w:rsidP="00B71FD5" w:rsidRDefault="00E23389">
      <w:pPr>
        <w:pStyle w:val="2"/>
      </w:pPr>
      <w:r w:rsidRPr="00B71FD5">
        <w:t>7. Перечень основной и дополнительной учебной литературы, необходимой для проведения государственной итоговой аттестации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Мухин Н.А., Нефрология [Электронный ресурс] : Национальное руководство. Краткое издание / гл. ред. Н.А. Мухин. - М. : ГЭОТАР-Медиа, 2016. - 608 с. - ISBN 978-5-9704-3788-9 - Режим доступа: https://www.rosmedlib.ru/book/ISBN9785970437889.html</w:t>
      </w:r>
    </w:p>
    <w:p w:rsidRPr="00B71FD5" w:rsidR="00E23389" w:rsidP="007915A4" w:rsidRDefault="00E23389">
      <w:pPr>
        <w:pStyle w:val="a3"/>
        <w:numPr>
          <w:ilvl w:val="0"/>
          <w:numId w:val="11"/>
        </w:numPr>
      </w:pPr>
      <w:bookmarkStart w:name="_GoBack" w:id="0"/>
      <w:r w:rsidRPr="00B71FD5">
        <w:t>Протоколы диагностики и лечения заболеваний органов мочевой системы у детей / под ред. д.м.н., проф. А.А. Вялковой [и др.]; утвержденное учебно-методическим объединением по медицинскому и фармацевтическому образованию ВУЗов России (УМО).- - 2010. -Ч.I .- 253 с.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Клиническая нефрология детского возраста : руководство для врачей / А. В. Папаян, Н. Д. Савенкова. - изд. доп. и перераб. - СПб. : Левша. Санкт-Петербург, 2008. - 600 с.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Современные технологии ранней диагностики и реабилитации пациентов с патологией почек [Электронный ресурс] : монография / И. В. Зорин [и др.] ; ред.: А. А. Вялкова, Н. А. Хрущева ; ОрГМУ, УрГМУ, МНОО "Ассоциация нефроурологов". - 3-е изд., испр. и доп. - Оренбург : [б. и.], 2018. - 212 on-line. http://lib.orgma.ru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Специализированная медицинская помощь детям с заболеваниями органов мочевой системы: монография / А. А. Вялкова, Н. Ю. Перепелкина, В. А. Архиреева; под ред. А. А. Вялковой. - М. : Медицина, 2003. - 168 с http://lib.orgma.ru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Мазанкова Л.Н., Микродисбиоз и эндогенные инфекции : руководство для врачей [Электронный ресурс] / Мазанкова Л.Н., Рыбальченко О.В., Николаева И.В. - М. : ГЭОТАР-Медиа, 2018. - 336 с. - ISBN 978-5-9704-4701-7 - Режим доступа: https://www.rosmedlib.ru/book/ISBN9785970447017.html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Милованова Л.Ю., Нарушения минерального и костного обмена при хронической болезни почек. Роль фактора роста фибробластов-23, Клото и склеростина [Электронный ресурс] / Милованова Л.Ю. - М. : ГЭОТАР-Медиа, 2018. - 144 с. (Серия "Библиотека врача-специалиста") - ISBN 978-5-9704-4388-0 - Режим доступа: https://www.rosmedlib.ru/book/ISBN9785970443880.html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Томилина Н.А., Хроническая болезнь почек. Избранные главы нефрологии [Электронный ресурс] / Н.А. Томилина - М. : ГЭОТАР-Медиа, 2017. - 512 с. - ISBN 978-5-9704-4192-3 - Режим доступа: https://www.rosmedlib.ru/book/ISBN9785970441923.html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Милованов Ю.С., Нарушения нутритивного статуса при почечной недостаточности [Электронный ресурс] / Ю.С. Милованов, Н.И. Милованова - М. : ГЭОТАР-Медиа, 2016. - 168 с. - ISBN 978-5-9704-3807-7 - Режим доступа: https://www.rosmedlib.ru/book/ISBN9785970438077.html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Кобалава Ж.Д., Основы кардиоренальной медицины [Электронный ресурс] / Кобалава Ж.Д., Виллевальде С.В., Ефремовцева М.А. - М. : ГЭОТАР-Медиа, 2014. - 256 с. - ISBN 978-5-9704-3040-8 - Режим доступа: https://www.rosmedlib.ru/book/ISBN9785970430408.html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государственной итоговой аттестации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8. Описание материально-технической базы, необходимой для осуществления процесса государственной итоговой аттестации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